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43"/>
        <w:tblW w:w="11897" w:type="dxa"/>
        <w:tblLook w:val="04A0" w:firstRow="1" w:lastRow="0" w:firstColumn="1" w:lastColumn="0" w:noHBand="0" w:noVBand="1"/>
      </w:tblPr>
      <w:tblGrid>
        <w:gridCol w:w="1746"/>
        <w:gridCol w:w="5742"/>
        <w:gridCol w:w="4409"/>
      </w:tblGrid>
      <w:tr w:rsidR="000761EE" w:rsidTr="000761EE">
        <w:trPr>
          <w:trHeight w:val="1066"/>
        </w:trPr>
        <w:tc>
          <w:tcPr>
            <w:tcW w:w="1729" w:type="dxa"/>
          </w:tcPr>
          <w:p w:rsidR="000761EE" w:rsidRDefault="000761EE" w:rsidP="000761EE"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504297D9" wp14:editId="25C82ECF">
                  <wp:extent cx="965200" cy="812800"/>
                  <wp:effectExtent l="0" t="0" r="6350" b="6350"/>
                  <wp:docPr id="2" name="Picture 2" descr="Khyber Pakhtunkhwa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yber Pakhtunkhwa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</w:tcPr>
          <w:p w:rsidR="000761EE" w:rsidRPr="00F76FEA" w:rsidRDefault="000761EE" w:rsidP="000761E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76FEA">
              <w:rPr>
                <w:rFonts w:ascii="Arial" w:hAnsi="Arial" w:cs="Arial"/>
                <w:b/>
                <w:sz w:val="18"/>
                <w:szCs w:val="22"/>
              </w:rPr>
              <w:t>PROJECT DIRECTOR (PMU)</w:t>
            </w:r>
          </w:p>
          <w:p w:rsidR="000761EE" w:rsidRPr="00F76FEA" w:rsidRDefault="000761EE" w:rsidP="000761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6FEA">
              <w:rPr>
                <w:rFonts w:ascii="Arial" w:hAnsi="Arial" w:cs="Arial"/>
                <w:b/>
                <w:sz w:val="20"/>
              </w:rPr>
              <w:t>Economic Revitalization in Khyber Pakhtunkhwa</w:t>
            </w:r>
          </w:p>
          <w:p w:rsidR="000761EE" w:rsidRPr="00F76FEA" w:rsidRDefault="000761EE" w:rsidP="000761E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76FEA">
              <w:rPr>
                <w:rFonts w:ascii="Arial" w:hAnsi="Arial" w:cs="Arial"/>
                <w:b/>
                <w:sz w:val="20"/>
              </w:rPr>
              <w:t>Industries Department, Civil Secretariat, Peshawar</w:t>
            </w:r>
          </w:p>
          <w:p w:rsidR="000761EE" w:rsidRDefault="000761EE" w:rsidP="000761EE"/>
        </w:tc>
        <w:tc>
          <w:tcPr>
            <w:tcW w:w="4410" w:type="dxa"/>
          </w:tcPr>
          <w:p w:rsidR="000761EE" w:rsidRDefault="000761EE" w:rsidP="000761EE">
            <w:r>
              <w:object w:dxaOrig="7991" w:dyaOrig="15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59.25pt" o:ole="">
                  <v:imagedata r:id="rId8" o:title=""/>
                </v:shape>
                <o:OLEObject Type="Embed" ProgID="CorelPHOTOPAINT.Image.16" ShapeID="_x0000_i1025" DrawAspect="Content" ObjectID="_1638086846" r:id="rId9"/>
              </w:object>
            </w:r>
          </w:p>
        </w:tc>
      </w:tr>
    </w:tbl>
    <w:p w:rsidR="000761EE" w:rsidRPr="000761EE" w:rsidRDefault="000761EE" w:rsidP="000761EE">
      <w:pPr>
        <w:rPr>
          <w:rFonts w:ascii="Arial" w:hAnsi="Arial" w:cs="Arial"/>
          <w:sz w:val="4"/>
        </w:rPr>
      </w:pPr>
    </w:p>
    <w:p w:rsidR="000761EE" w:rsidRPr="009F5AF1" w:rsidRDefault="000761EE" w:rsidP="000761EE">
      <w:pPr>
        <w:rPr>
          <w:rFonts w:ascii="Arial" w:hAnsi="Arial" w:cs="Arial"/>
          <w:sz w:val="8"/>
        </w:rPr>
      </w:pPr>
    </w:p>
    <w:p w:rsidR="003F3DA1" w:rsidRDefault="003F3DA1" w:rsidP="003F3DA1">
      <w:pPr>
        <w:suppressAutoHyphens/>
        <w:jc w:val="center"/>
        <w:rPr>
          <w:b/>
          <w:sz w:val="32"/>
        </w:rPr>
      </w:pPr>
      <w:r>
        <w:rPr>
          <w:b/>
          <w:sz w:val="32"/>
        </w:rPr>
        <w:t>Invitation for Bids</w:t>
      </w:r>
    </w:p>
    <w:p w:rsidR="003F3DA1" w:rsidRPr="003F3DA1" w:rsidRDefault="003F3DA1" w:rsidP="003F3DA1">
      <w:pPr>
        <w:tabs>
          <w:tab w:val="right" w:pos="6300"/>
          <w:tab w:val="left" w:pos="6480"/>
          <w:tab w:val="right" w:pos="9000"/>
        </w:tabs>
        <w:suppressAutoHyphens/>
        <w:jc w:val="both"/>
        <w:rPr>
          <w:sz w:val="4"/>
          <w:lang w:val="es-ES"/>
        </w:rPr>
      </w:pPr>
      <w:r>
        <w:t xml:space="preserve">                                                            </w:t>
      </w: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  <w:lang w:val="es-ES"/>
        </w:rPr>
      </w:pPr>
    </w:p>
    <w:p w:rsidR="003F3DA1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0748FA">
        <w:rPr>
          <w:rFonts w:ascii="Bookman Old Style" w:hAnsi="Bookman Old Style"/>
          <w:sz w:val="26"/>
          <w:szCs w:val="26"/>
        </w:rPr>
        <w:t>The Government of Khyber Pakhtunkhwa has received Grant from the International Bank for Reconstruction and Development (IBRD) towards the cost of Project Management Unit Economic Revitalization Khyber Pakhtunkhwa.</w:t>
      </w:r>
      <w:r>
        <w:rPr>
          <w:rFonts w:ascii="Bookman Old Style" w:hAnsi="Bookman Old Style"/>
          <w:sz w:val="26"/>
          <w:szCs w:val="26"/>
        </w:rPr>
        <w:t xml:space="preserve">  It is intended to apply the </w:t>
      </w:r>
      <w:r w:rsidRPr="000748FA">
        <w:rPr>
          <w:rFonts w:ascii="Bookman Old Style" w:hAnsi="Bookman Old Style"/>
          <w:sz w:val="26"/>
          <w:szCs w:val="26"/>
        </w:rPr>
        <w:t>part of the proceeds of this grant</w:t>
      </w:r>
      <w:r>
        <w:rPr>
          <w:rFonts w:ascii="Bookman Old Style" w:hAnsi="Bookman Old Style"/>
          <w:sz w:val="26"/>
          <w:szCs w:val="26"/>
        </w:rPr>
        <w:t xml:space="preserve"> </w:t>
      </w:r>
      <w:r w:rsidRPr="000748FA">
        <w:rPr>
          <w:rFonts w:ascii="Bookman Old Style" w:hAnsi="Bookman Old Style"/>
          <w:sz w:val="26"/>
          <w:szCs w:val="26"/>
        </w:rPr>
        <w:t xml:space="preserve">to eligible payments </w:t>
      </w:r>
      <w:r>
        <w:rPr>
          <w:rFonts w:ascii="Bookman Old Style" w:hAnsi="Bookman Old Style"/>
          <w:sz w:val="26"/>
          <w:szCs w:val="26"/>
        </w:rPr>
        <w:t xml:space="preserve">for </w:t>
      </w:r>
      <w:r w:rsidRPr="000748FA">
        <w:rPr>
          <w:rFonts w:ascii="Bookman Old Style" w:hAnsi="Bookman Old Style"/>
          <w:sz w:val="26"/>
          <w:szCs w:val="26"/>
        </w:rPr>
        <w:t xml:space="preserve">Procurement of </w:t>
      </w:r>
      <w:r>
        <w:rPr>
          <w:rFonts w:ascii="Bookman Old Style" w:hAnsi="Bookman Old Style"/>
          <w:sz w:val="26"/>
          <w:szCs w:val="26"/>
        </w:rPr>
        <w:t>“Wheel load</w:t>
      </w: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 xml:space="preserve">er along with allied equipment’. </w:t>
      </w:r>
      <w:r w:rsidRPr="000748FA">
        <w:rPr>
          <w:rFonts w:ascii="Bookman Old Style" w:hAnsi="Bookman Old Style"/>
          <w:sz w:val="26"/>
          <w:szCs w:val="26"/>
        </w:rPr>
        <w:t xml:space="preserve"> </w:t>
      </w:r>
    </w:p>
    <w:p w:rsidR="003F3DA1" w:rsidRPr="0010272D" w:rsidRDefault="003F3DA1" w:rsidP="003F3DA1">
      <w:pPr>
        <w:suppressAutoHyphens/>
        <w:jc w:val="both"/>
        <w:rPr>
          <w:rFonts w:ascii="Bookman Old Style" w:hAnsi="Bookman Old Style"/>
          <w:sz w:val="16"/>
          <w:szCs w:val="26"/>
        </w:rPr>
      </w:pP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0748FA">
        <w:rPr>
          <w:rFonts w:ascii="Bookman Old Style" w:hAnsi="Bookman Old Style"/>
          <w:sz w:val="26"/>
          <w:szCs w:val="26"/>
        </w:rPr>
        <w:t>The Project Management Unit Economic Revitalization Khyber Pakhtunkhw</w:t>
      </w:r>
      <w:r>
        <w:rPr>
          <w:rFonts w:ascii="Bookman Old Style" w:hAnsi="Bookman Old Style"/>
          <w:sz w:val="26"/>
          <w:szCs w:val="26"/>
        </w:rPr>
        <w:t xml:space="preserve">a (ERKF) invites sealed bids </w:t>
      </w:r>
      <w:r w:rsidRPr="000748FA">
        <w:rPr>
          <w:rFonts w:ascii="Bookman Old Style" w:hAnsi="Bookman Old Style"/>
          <w:sz w:val="26"/>
          <w:szCs w:val="26"/>
        </w:rPr>
        <w:t>from</w:t>
      </w:r>
      <w:r>
        <w:rPr>
          <w:rFonts w:ascii="Bookman Old Style" w:hAnsi="Bookman Old Style"/>
          <w:sz w:val="26"/>
          <w:szCs w:val="26"/>
        </w:rPr>
        <w:t xml:space="preserve"> the eligible bidders for </w:t>
      </w:r>
      <w:r w:rsidRPr="000748FA">
        <w:rPr>
          <w:rFonts w:ascii="Bookman Old Style" w:hAnsi="Bookman Old Style"/>
          <w:sz w:val="26"/>
          <w:szCs w:val="26"/>
        </w:rPr>
        <w:t xml:space="preserve">supply of </w:t>
      </w:r>
      <w:r>
        <w:rPr>
          <w:rFonts w:ascii="Bookman Old Style" w:hAnsi="Bookman Old Style"/>
          <w:sz w:val="26"/>
          <w:szCs w:val="26"/>
        </w:rPr>
        <w:t xml:space="preserve">the </w:t>
      </w:r>
      <w:r w:rsidRPr="000748FA">
        <w:rPr>
          <w:rFonts w:ascii="Bookman Old Style" w:hAnsi="Bookman Old Style"/>
          <w:sz w:val="26"/>
          <w:szCs w:val="26"/>
        </w:rPr>
        <w:t>following items</w:t>
      </w: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"/>
        <w:gridCol w:w="7429"/>
        <w:gridCol w:w="1227"/>
      </w:tblGrid>
      <w:tr w:rsidR="003F3DA1" w:rsidTr="00196BB0">
        <w:trPr>
          <w:trHeight w:val="339"/>
        </w:trPr>
        <w:tc>
          <w:tcPr>
            <w:tcW w:w="704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7655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Description</w:t>
            </w:r>
          </w:p>
        </w:tc>
        <w:tc>
          <w:tcPr>
            <w:tcW w:w="1247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Qty</w:t>
            </w:r>
          </w:p>
        </w:tc>
      </w:tr>
      <w:tr w:rsidR="003F3DA1" w:rsidTr="00196BB0">
        <w:tc>
          <w:tcPr>
            <w:tcW w:w="704" w:type="dxa"/>
          </w:tcPr>
          <w:p w:rsid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01</w:t>
            </w:r>
          </w:p>
        </w:tc>
        <w:tc>
          <w:tcPr>
            <w:tcW w:w="7655" w:type="dxa"/>
          </w:tcPr>
          <w:p w:rsidR="003F3DA1" w:rsidRPr="003F3DA1" w:rsidRDefault="003F3DA1" w:rsidP="003F3DA1">
            <w:pPr>
              <w:suppressAutoHyphens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Wheel Loader: 160-220 HP @ 2,000 RPM or above</w:t>
            </w:r>
          </w:p>
          <w:p w:rsidR="003F3DA1" w:rsidRPr="003F3DA1" w:rsidRDefault="003F3DA1" w:rsidP="003F3DA1">
            <w:pPr>
              <w:suppressAutoHyphens/>
              <w:spacing w:line="276" w:lineRule="auto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 xml:space="preserve">Bucket Capacity: 2.0 m3 or above </w:t>
            </w:r>
          </w:p>
        </w:tc>
        <w:tc>
          <w:tcPr>
            <w:tcW w:w="1247" w:type="dxa"/>
          </w:tcPr>
          <w:p w:rsidR="003F3DA1" w:rsidRPr="00C34877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</w:tr>
      <w:tr w:rsidR="003F3DA1" w:rsidTr="00196BB0">
        <w:trPr>
          <w:trHeight w:val="354"/>
        </w:trPr>
        <w:tc>
          <w:tcPr>
            <w:tcW w:w="704" w:type="dxa"/>
          </w:tcPr>
          <w:p w:rsid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  <w:tc>
          <w:tcPr>
            <w:tcW w:w="7655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Angle Dozer Blade: with 25-degree tilt function on both sides</w:t>
            </w:r>
          </w:p>
        </w:tc>
        <w:tc>
          <w:tcPr>
            <w:tcW w:w="1247" w:type="dxa"/>
          </w:tcPr>
          <w:p w:rsidR="003F3DA1" w:rsidRPr="00C34877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</w:tr>
      <w:tr w:rsidR="003F3DA1" w:rsidTr="00196BB0">
        <w:tc>
          <w:tcPr>
            <w:tcW w:w="704" w:type="dxa"/>
          </w:tcPr>
          <w:p w:rsid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03</w:t>
            </w:r>
          </w:p>
        </w:tc>
        <w:tc>
          <w:tcPr>
            <w:tcW w:w="7655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Snow Blower attachment</w:t>
            </w:r>
          </w:p>
        </w:tc>
        <w:tc>
          <w:tcPr>
            <w:tcW w:w="1247" w:type="dxa"/>
          </w:tcPr>
          <w:p w:rsidR="003F3DA1" w:rsidRPr="00C34877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02</w:t>
            </w:r>
          </w:p>
        </w:tc>
      </w:tr>
      <w:tr w:rsidR="003F3DA1" w:rsidTr="00196BB0">
        <w:tc>
          <w:tcPr>
            <w:tcW w:w="704" w:type="dxa"/>
          </w:tcPr>
          <w:p w:rsid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04</w:t>
            </w:r>
          </w:p>
        </w:tc>
        <w:tc>
          <w:tcPr>
            <w:tcW w:w="7655" w:type="dxa"/>
          </w:tcPr>
          <w:p w:rsidR="003F3DA1" w:rsidRPr="003F3DA1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 w:rsidRPr="003F3DA1">
              <w:rPr>
                <w:rFonts w:ascii="Bookman Old Style" w:hAnsi="Bookman Old Style"/>
                <w:sz w:val="26"/>
                <w:szCs w:val="26"/>
              </w:rPr>
              <w:t>Wheel Chains</w:t>
            </w:r>
          </w:p>
        </w:tc>
        <w:tc>
          <w:tcPr>
            <w:tcW w:w="1247" w:type="dxa"/>
          </w:tcPr>
          <w:p w:rsidR="003F3DA1" w:rsidRPr="00C34877" w:rsidRDefault="003F3DA1" w:rsidP="003F3DA1">
            <w:pPr>
              <w:suppressAutoHyphens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04 pair</w:t>
            </w:r>
          </w:p>
        </w:tc>
      </w:tr>
    </w:tbl>
    <w:p w:rsidR="003F3DA1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</w:p>
    <w:p w:rsidR="003F3DA1" w:rsidRPr="00EA115E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EA115E">
        <w:rPr>
          <w:rFonts w:ascii="Bookman Old Style" w:hAnsi="Bookman Old Style"/>
          <w:sz w:val="26"/>
          <w:szCs w:val="26"/>
        </w:rPr>
        <w:t xml:space="preserve">Interested eligible bidders may obtain further information </w:t>
      </w:r>
      <w:r>
        <w:rPr>
          <w:rFonts w:ascii="Bookman Old Style" w:hAnsi="Bookman Old Style"/>
          <w:sz w:val="26"/>
          <w:szCs w:val="26"/>
        </w:rPr>
        <w:t xml:space="preserve">and set of bidding </w:t>
      </w:r>
      <w:r w:rsidRPr="00EA115E">
        <w:rPr>
          <w:rFonts w:ascii="Bookman Old Style" w:hAnsi="Bookman Old Style"/>
          <w:sz w:val="26"/>
          <w:szCs w:val="26"/>
        </w:rPr>
        <w:t xml:space="preserve">documents </w:t>
      </w:r>
      <w:r>
        <w:rPr>
          <w:rFonts w:ascii="Bookman Old Style" w:hAnsi="Bookman Old Style"/>
          <w:sz w:val="26"/>
          <w:szCs w:val="26"/>
        </w:rPr>
        <w:t xml:space="preserve">along with detailed specification, criteria and other terms &amp; conditions from the </w:t>
      </w:r>
      <w:r w:rsidRPr="00EA115E">
        <w:rPr>
          <w:rFonts w:ascii="Bookman Old Style" w:hAnsi="Bookman Old Style"/>
          <w:sz w:val="26"/>
          <w:szCs w:val="26"/>
        </w:rPr>
        <w:t xml:space="preserve">office of Project Director, Project Management Unit Economic Revitalization Khyber Pakhtunkhwa (ERKF) House#358, Khyber Colony#2, Opposite Frontier Blood Foundation University Road, Tehkal Payan Peshawar. </w:t>
      </w:r>
      <w:r>
        <w:rPr>
          <w:rFonts w:ascii="Bookman Old Style" w:hAnsi="Bookman Old Style"/>
          <w:sz w:val="26"/>
          <w:szCs w:val="26"/>
        </w:rPr>
        <w:t>Ph</w:t>
      </w:r>
      <w:r w:rsidRPr="00EA115E">
        <w:rPr>
          <w:rFonts w:ascii="Bookman Old Style" w:hAnsi="Bookman Old Style"/>
          <w:sz w:val="26"/>
          <w:szCs w:val="26"/>
        </w:rPr>
        <w:t>: 091-9218051 Monda</w:t>
      </w:r>
      <w:r>
        <w:rPr>
          <w:rFonts w:ascii="Bookman Old Style" w:hAnsi="Bookman Old Style"/>
          <w:sz w:val="26"/>
          <w:szCs w:val="26"/>
        </w:rPr>
        <w:t xml:space="preserve">y to Friday during office hours upon written application and fee of PKR 2000/- non-refundable in form of cash. </w:t>
      </w:r>
    </w:p>
    <w:p w:rsidR="003F3DA1" w:rsidRPr="003F3DA1" w:rsidRDefault="003F3DA1" w:rsidP="003F3DA1">
      <w:pPr>
        <w:pStyle w:val="ListParagraph"/>
        <w:suppressAutoHyphens/>
        <w:ind w:left="0"/>
        <w:jc w:val="both"/>
        <w:rPr>
          <w:rFonts w:ascii="Bookman Old Style" w:hAnsi="Bookman Old Style"/>
          <w:sz w:val="14"/>
          <w:szCs w:val="26"/>
        </w:rPr>
      </w:pPr>
    </w:p>
    <w:p w:rsidR="003F3DA1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162497">
        <w:rPr>
          <w:rFonts w:ascii="Bookman Old Style" w:hAnsi="Bookman Old Style"/>
          <w:sz w:val="26"/>
          <w:szCs w:val="26"/>
        </w:rPr>
        <w:t>Process will be conducted</w:t>
      </w:r>
      <w:r>
        <w:rPr>
          <w:rFonts w:ascii="Bookman Old Style" w:hAnsi="Bookman Old Style"/>
          <w:sz w:val="26"/>
          <w:szCs w:val="26"/>
        </w:rPr>
        <w:t xml:space="preserve"> through National Competitive Bidding as defined World Bank Procurement Guide lines “procurement</w:t>
      </w:r>
      <w:r w:rsidRPr="007B095D">
        <w:rPr>
          <w:rFonts w:ascii="Bookman Old Style" w:hAnsi="Bookman Old Style"/>
          <w:sz w:val="26"/>
          <w:szCs w:val="26"/>
        </w:rPr>
        <w:t xml:space="preserve"> of goods, works, and non-consulting services </w:t>
      </w:r>
      <w:r>
        <w:rPr>
          <w:rFonts w:ascii="Bookman Old Style" w:hAnsi="Bookman Old Style"/>
          <w:sz w:val="26"/>
          <w:szCs w:val="26"/>
        </w:rPr>
        <w:t>under IBRD loans and IDA</w:t>
      </w:r>
      <w:r w:rsidRPr="007B095D">
        <w:rPr>
          <w:rFonts w:ascii="Bookman Old Style" w:hAnsi="Bookman Old Style"/>
          <w:sz w:val="26"/>
          <w:szCs w:val="26"/>
        </w:rPr>
        <w:t xml:space="preserve"> credits &amp; grants by world bank borrowers </w:t>
      </w:r>
      <w:r>
        <w:rPr>
          <w:rFonts w:ascii="Bookman Old Style" w:hAnsi="Bookman Old Style"/>
          <w:sz w:val="26"/>
          <w:szCs w:val="26"/>
        </w:rPr>
        <w:t xml:space="preserve">2011 (revised 2014) and </w:t>
      </w:r>
      <w:r w:rsidRPr="00162497">
        <w:rPr>
          <w:rFonts w:ascii="Bookman Old Style" w:hAnsi="Bookman Old Style"/>
          <w:sz w:val="26"/>
          <w:szCs w:val="26"/>
        </w:rPr>
        <w:t xml:space="preserve">is open to all eligible bidders as defined in the </w:t>
      </w:r>
      <w:r>
        <w:rPr>
          <w:rFonts w:ascii="Bookman Old Style" w:hAnsi="Bookman Old Style"/>
          <w:sz w:val="26"/>
          <w:szCs w:val="26"/>
        </w:rPr>
        <w:t>World Bank Procurement Guidelines</w:t>
      </w:r>
      <w:r w:rsidRPr="00162497">
        <w:rPr>
          <w:rFonts w:ascii="Bookman Old Style" w:hAnsi="Bookman Old Style"/>
          <w:sz w:val="26"/>
          <w:szCs w:val="26"/>
        </w:rPr>
        <w:t xml:space="preserve">. </w:t>
      </w:r>
    </w:p>
    <w:p w:rsidR="003F3DA1" w:rsidRPr="003F3DA1" w:rsidRDefault="003F3DA1" w:rsidP="003F3DA1">
      <w:pPr>
        <w:suppressAutoHyphens/>
        <w:jc w:val="both"/>
        <w:rPr>
          <w:rFonts w:ascii="Bookman Old Style" w:hAnsi="Bookman Old Style"/>
          <w:sz w:val="18"/>
          <w:szCs w:val="26"/>
        </w:rPr>
      </w:pPr>
    </w:p>
    <w:p w:rsidR="003F3DA1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Bids </w:t>
      </w:r>
      <w:r w:rsidRPr="000748FA">
        <w:rPr>
          <w:rFonts w:ascii="Bookman Old Style" w:hAnsi="Bookman Old Style"/>
          <w:sz w:val="26"/>
          <w:szCs w:val="26"/>
        </w:rPr>
        <w:t>must be delivered to the ab</w:t>
      </w:r>
      <w:r>
        <w:rPr>
          <w:rFonts w:ascii="Bookman Old Style" w:hAnsi="Bookman Old Style"/>
          <w:sz w:val="26"/>
          <w:szCs w:val="26"/>
        </w:rPr>
        <w:t>ove office on or before December 26</w:t>
      </w:r>
      <w:r w:rsidRPr="00C34877">
        <w:rPr>
          <w:rFonts w:ascii="Bookman Old Style" w:hAnsi="Bookman Old Style"/>
          <w:sz w:val="26"/>
          <w:szCs w:val="26"/>
          <w:vertAlign w:val="superscript"/>
        </w:rPr>
        <w:t>th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0748FA">
        <w:rPr>
          <w:rFonts w:ascii="Bookman Old Style" w:hAnsi="Bookman Old Style"/>
          <w:sz w:val="26"/>
          <w:szCs w:val="26"/>
        </w:rPr>
        <w:t xml:space="preserve">2019, </w:t>
      </w:r>
      <w:r>
        <w:rPr>
          <w:rFonts w:ascii="Bookman Old Style" w:hAnsi="Bookman Old Style"/>
          <w:sz w:val="26"/>
          <w:szCs w:val="26"/>
        </w:rPr>
        <w:t xml:space="preserve">1400 hrs </w:t>
      </w:r>
      <w:r w:rsidRPr="000748FA">
        <w:rPr>
          <w:rFonts w:ascii="Bookman Old Style" w:hAnsi="Bookman Old Style"/>
          <w:sz w:val="26"/>
          <w:szCs w:val="26"/>
        </w:rPr>
        <w:t>and</w:t>
      </w:r>
      <w:r w:rsidRPr="000748FA">
        <w:rPr>
          <w:rFonts w:ascii="Bookman Old Style" w:hAnsi="Bookman Old Style"/>
          <w:color w:val="FF0000"/>
          <w:sz w:val="26"/>
          <w:szCs w:val="26"/>
        </w:rPr>
        <w:t xml:space="preserve"> </w:t>
      </w:r>
      <w:r w:rsidRPr="000748FA">
        <w:rPr>
          <w:rFonts w:ascii="Bookman Old Style" w:hAnsi="Bookman Old Style"/>
          <w:sz w:val="26"/>
          <w:szCs w:val="26"/>
        </w:rPr>
        <w:t>must be accompanied by a security of 2%</w:t>
      </w:r>
      <w:r>
        <w:rPr>
          <w:rFonts w:ascii="Bookman Old Style" w:hAnsi="Bookman Old Style"/>
          <w:sz w:val="26"/>
          <w:szCs w:val="26"/>
        </w:rPr>
        <w:t xml:space="preserve"> in form of Bank Guarantee issued by a scheduled on the name of Project Director PMU-ERKF</w:t>
      </w:r>
      <w:r w:rsidRPr="000748FA">
        <w:rPr>
          <w:rFonts w:ascii="Bookman Old Style" w:hAnsi="Bookman Old Style"/>
          <w:sz w:val="26"/>
          <w:szCs w:val="26"/>
        </w:rPr>
        <w:t>.</w:t>
      </w: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0748FA">
        <w:rPr>
          <w:rFonts w:ascii="Bookman Old Style" w:hAnsi="Bookman Old Style"/>
          <w:sz w:val="26"/>
          <w:szCs w:val="26"/>
        </w:rPr>
        <w:t>Bids will be opened in the presence of bidders’ representatives who choose to attend at</w:t>
      </w:r>
      <w:r w:rsidRPr="000748FA">
        <w:rPr>
          <w:rFonts w:ascii="Bookman Old Style" w:hAnsi="Bookman Old Style"/>
          <w:i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14</w:t>
      </w:r>
      <w:r w:rsidRPr="000748FA">
        <w:rPr>
          <w:rFonts w:ascii="Bookman Old Style" w:hAnsi="Bookman Old Style"/>
          <w:sz w:val="26"/>
          <w:szCs w:val="26"/>
        </w:rPr>
        <w:t xml:space="preserve">:00hrs on </w:t>
      </w:r>
      <w:r>
        <w:rPr>
          <w:rFonts w:ascii="Bookman Old Style" w:hAnsi="Bookman Old Style"/>
          <w:sz w:val="26"/>
          <w:szCs w:val="26"/>
        </w:rPr>
        <w:t>December 26</w:t>
      </w:r>
      <w:r w:rsidRPr="00116495">
        <w:rPr>
          <w:rFonts w:ascii="Bookman Old Style" w:hAnsi="Bookman Old Style"/>
          <w:sz w:val="26"/>
          <w:szCs w:val="26"/>
          <w:vertAlign w:val="superscript"/>
        </w:rPr>
        <w:t>th</w:t>
      </w:r>
      <w:r w:rsidRPr="000748FA">
        <w:rPr>
          <w:rFonts w:ascii="Bookman Old Style" w:hAnsi="Bookman Old Style"/>
          <w:sz w:val="26"/>
          <w:szCs w:val="26"/>
        </w:rPr>
        <w:t xml:space="preserve"> 2019,</w:t>
      </w:r>
      <w:r w:rsidRPr="000748FA">
        <w:rPr>
          <w:rFonts w:ascii="Bookman Old Style" w:hAnsi="Bookman Old Style"/>
          <w:i/>
          <w:color w:val="FF0000"/>
          <w:sz w:val="26"/>
          <w:szCs w:val="26"/>
        </w:rPr>
        <w:t xml:space="preserve"> </w:t>
      </w:r>
      <w:r w:rsidRPr="000748FA">
        <w:rPr>
          <w:rFonts w:ascii="Bookman Old Style" w:hAnsi="Bookman Old Style"/>
          <w:sz w:val="26"/>
          <w:szCs w:val="26"/>
        </w:rPr>
        <w:t xml:space="preserve">at the office of Project Director, Project Management Unit Economic Revitalization Khyber </w:t>
      </w:r>
      <w:r w:rsidRPr="000748FA">
        <w:rPr>
          <w:rFonts w:ascii="Bookman Old Style" w:hAnsi="Bookman Old Style"/>
          <w:sz w:val="26"/>
          <w:szCs w:val="26"/>
        </w:rPr>
        <w:lastRenderedPageBreak/>
        <w:t xml:space="preserve">Pakhtunkhwa (ERKF) House#358, Khyber Colony#2, Opposite Frontier Blood Foundation University Road, Tehkal Payan Peshawar. Ph: 091-9218051. A pre bid meeting will be held on </w:t>
      </w:r>
      <w:r>
        <w:rPr>
          <w:rFonts w:ascii="Bookman Old Style" w:hAnsi="Bookman Old Style"/>
          <w:sz w:val="26"/>
          <w:szCs w:val="26"/>
        </w:rPr>
        <w:t>December 18</w:t>
      </w:r>
      <w:r w:rsidRPr="00E22AE0">
        <w:rPr>
          <w:rFonts w:ascii="Bookman Old Style" w:hAnsi="Bookman Old Style"/>
          <w:sz w:val="26"/>
          <w:szCs w:val="26"/>
          <w:vertAlign w:val="superscript"/>
        </w:rPr>
        <w:t>th</w:t>
      </w:r>
      <w:r w:rsidRPr="000748FA">
        <w:rPr>
          <w:rFonts w:ascii="Bookman Old Style" w:hAnsi="Bookman Old Style"/>
          <w:sz w:val="26"/>
          <w:szCs w:val="26"/>
        </w:rPr>
        <w:t xml:space="preserve">, 2019 at 11:00hrs at the same address. </w:t>
      </w: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</w:p>
    <w:p w:rsidR="003F3DA1" w:rsidRPr="000748FA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 w:rsidRPr="000748FA">
        <w:rPr>
          <w:rFonts w:ascii="Bookman Old Style" w:hAnsi="Bookman Old Style"/>
          <w:sz w:val="26"/>
          <w:szCs w:val="26"/>
        </w:rPr>
        <w:t>The bidders are requested to give their best and final prices as no negotiations are accepted. Bids received after the dead line will not be entertained.</w:t>
      </w:r>
    </w:p>
    <w:p w:rsidR="003F3DA1" w:rsidRPr="000748FA" w:rsidRDefault="003F3DA1" w:rsidP="003F3DA1">
      <w:pPr>
        <w:suppressAutoHyphens/>
        <w:rPr>
          <w:rFonts w:ascii="Bookman Old Style" w:hAnsi="Bookman Old Style"/>
          <w:sz w:val="26"/>
          <w:szCs w:val="26"/>
        </w:rPr>
      </w:pPr>
    </w:p>
    <w:p w:rsidR="003F3DA1" w:rsidRPr="00906E09" w:rsidRDefault="003F3DA1" w:rsidP="003F3DA1">
      <w:pPr>
        <w:suppressAutoHyphens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This RFB</w:t>
      </w:r>
      <w:r w:rsidRPr="000748FA">
        <w:rPr>
          <w:rFonts w:ascii="Bookman Old Style" w:hAnsi="Bookman Old Style"/>
          <w:sz w:val="26"/>
          <w:szCs w:val="26"/>
        </w:rPr>
        <w:t xml:space="preserve"> can be downloaded from </w:t>
      </w:r>
      <w:hyperlink r:id="rId10" w:history="1">
        <w:r w:rsidRPr="000748FA">
          <w:rPr>
            <w:rStyle w:val="Hyperlink"/>
            <w:rFonts w:ascii="Bookman Old Style" w:hAnsi="Bookman Old Style"/>
            <w:sz w:val="26"/>
            <w:szCs w:val="26"/>
          </w:rPr>
          <w:t>www.reconnectpakistan.com</w:t>
        </w:r>
      </w:hyperlink>
      <w:r>
        <w:rPr>
          <w:rStyle w:val="Hyperlink"/>
          <w:rFonts w:ascii="Bookman Old Style" w:hAnsi="Bookman Old Style"/>
          <w:sz w:val="26"/>
          <w:szCs w:val="26"/>
        </w:rPr>
        <w:t xml:space="preserve"> and www.gda.gkp.pk</w:t>
      </w:r>
    </w:p>
    <w:p w:rsidR="003F3DA1" w:rsidRPr="000748FA" w:rsidRDefault="003F3DA1" w:rsidP="003F3DA1">
      <w:pPr>
        <w:suppressAutoHyphens/>
        <w:rPr>
          <w:rFonts w:ascii="Bookman Old Style" w:hAnsi="Bookman Old Style"/>
          <w:sz w:val="26"/>
          <w:szCs w:val="26"/>
        </w:rPr>
      </w:pPr>
    </w:p>
    <w:p w:rsidR="003F3DA1" w:rsidRPr="000748FA" w:rsidRDefault="003F3DA1" w:rsidP="003F3DA1">
      <w:pPr>
        <w:suppressAutoHyphens/>
        <w:rPr>
          <w:rFonts w:ascii="Bookman Old Style" w:hAnsi="Bookman Old Style"/>
          <w:sz w:val="26"/>
          <w:szCs w:val="26"/>
        </w:rPr>
      </w:pPr>
    </w:p>
    <w:p w:rsidR="003F3DA1" w:rsidRPr="000748FA" w:rsidRDefault="003F3DA1" w:rsidP="003F3DA1">
      <w:pPr>
        <w:suppressAutoHyphens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Procurement Specialist </w:t>
      </w:r>
      <w:r w:rsidRPr="000748FA">
        <w:rPr>
          <w:rFonts w:ascii="Bookman Old Style" w:hAnsi="Bookman Old Style"/>
          <w:sz w:val="26"/>
          <w:szCs w:val="26"/>
        </w:rPr>
        <w:t>PMU-ERKF</w:t>
      </w:r>
    </w:p>
    <w:p w:rsidR="0073656E" w:rsidRDefault="003F3DA1" w:rsidP="00F76FEA">
      <w:pPr>
        <w:suppressAutoHyphens/>
        <w:jc w:val="center"/>
      </w:pPr>
      <w:r w:rsidRPr="000748FA">
        <w:rPr>
          <w:rFonts w:ascii="Bookman Old Style" w:hAnsi="Bookman Old Style"/>
          <w:sz w:val="26"/>
          <w:szCs w:val="26"/>
        </w:rPr>
        <w:t xml:space="preserve">                                                         </w:t>
      </w:r>
      <w:r>
        <w:rPr>
          <w:rFonts w:ascii="Bookman Old Style" w:hAnsi="Bookman Old Style"/>
          <w:sz w:val="26"/>
          <w:szCs w:val="26"/>
        </w:rPr>
        <w:t xml:space="preserve">  </w:t>
      </w:r>
      <w:r w:rsidRPr="000748FA">
        <w:rPr>
          <w:rFonts w:ascii="Bookman Old Style" w:hAnsi="Bookman Old Style"/>
          <w:sz w:val="26"/>
          <w:szCs w:val="26"/>
        </w:rPr>
        <w:t xml:space="preserve"> </w:t>
      </w:r>
      <w:r w:rsidR="00F76FEA">
        <w:rPr>
          <w:rFonts w:ascii="Bookman Old Style" w:hAnsi="Bookman Old Style"/>
          <w:sz w:val="26"/>
          <w:szCs w:val="26"/>
        </w:rPr>
        <w:t>091-92180</w:t>
      </w:r>
    </w:p>
    <w:sectPr w:rsidR="0073656E" w:rsidSect="00F76FEA">
      <w:headerReference w:type="even" r:id="rId11"/>
      <w:headerReference w:type="first" r:id="rId12"/>
      <w:pgSz w:w="11907" w:h="16839" w:code="9"/>
      <w:pgMar w:top="1985" w:right="1377" w:bottom="5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C8" w:rsidRDefault="00C55FC8">
      <w:r>
        <w:separator/>
      </w:r>
    </w:p>
  </w:endnote>
  <w:endnote w:type="continuationSeparator" w:id="0">
    <w:p w:rsidR="00C55FC8" w:rsidRDefault="00C5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C8" w:rsidRDefault="00C55FC8">
      <w:r>
        <w:separator/>
      </w:r>
    </w:p>
  </w:footnote>
  <w:footnote w:type="continuationSeparator" w:id="0">
    <w:p w:rsidR="00C55FC8" w:rsidRDefault="00C55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27" w:rsidRDefault="00AE7264">
    <w:pPr>
      <w:pStyle w:val="Header"/>
      <w:tabs>
        <w:tab w:val="clear" w:pos="4320"/>
        <w:tab w:val="clear" w:pos="8640"/>
        <w:tab w:val="right" w:pos="9000"/>
      </w:tabs>
      <w:rPr>
        <w:rFonts w:ascii="Times New Roman" w:hAnsi="Times New Roman"/>
        <w:sz w:val="20"/>
        <w:u w:val="single"/>
      </w:rPr>
    </w:pPr>
    <w:r>
      <w:rPr>
        <w:rStyle w:val="PageNumber"/>
        <w:rFonts w:ascii="Times New Roman" w:hAnsi="Times New Roman"/>
        <w:sz w:val="20"/>
        <w:u w:val="single"/>
      </w:rPr>
      <w:fldChar w:fldCharType="begin"/>
    </w:r>
    <w:r>
      <w:rPr>
        <w:rStyle w:val="PageNumber"/>
        <w:rFonts w:ascii="Times New Roman" w:hAnsi="Times New Roman"/>
        <w:sz w:val="20"/>
        <w:u w:val="single"/>
      </w:rPr>
      <w:instrText xml:space="preserve"> PAGE </w:instrText>
    </w:r>
    <w:r>
      <w:rPr>
        <w:rStyle w:val="PageNumber"/>
        <w:rFonts w:ascii="Times New Roman" w:hAnsi="Times New Roman"/>
        <w:sz w:val="20"/>
        <w:u w:val="single"/>
      </w:rPr>
      <w:fldChar w:fldCharType="separate"/>
    </w:r>
    <w:r>
      <w:rPr>
        <w:rStyle w:val="PageNumber"/>
        <w:rFonts w:ascii="Times New Roman" w:hAnsi="Times New Roman"/>
        <w:noProof/>
        <w:sz w:val="20"/>
        <w:u w:val="single"/>
      </w:rPr>
      <w:t>4</w:t>
    </w:r>
    <w:r>
      <w:rPr>
        <w:rStyle w:val="PageNumber"/>
        <w:rFonts w:ascii="Times New Roman" w:hAnsi="Times New Roman"/>
        <w:sz w:val="20"/>
        <w:u w:val="single"/>
      </w:rPr>
      <w:fldChar w:fldCharType="end"/>
    </w:r>
    <w:r>
      <w:rPr>
        <w:rStyle w:val="PageNumber"/>
        <w:rFonts w:ascii="Times New Roman" w:hAnsi="Times New Roman"/>
        <w:sz w:val="20"/>
        <w:u w:val="single"/>
      </w:rPr>
      <w:tab/>
      <w:t>Part Two - Section I.  Invitation for Bids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27" w:rsidRDefault="00C55FC8">
    <w:pPr>
      <w:pStyle w:val="Header"/>
      <w:tabs>
        <w:tab w:val="clear" w:pos="4320"/>
        <w:tab w:val="clear" w:pos="8640"/>
        <w:tab w:val="right" w:pos="9000"/>
      </w:tabs>
      <w:rPr>
        <w:rFonts w:ascii="Times New Roman" w:hAnsi="Times New Roman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B7FD1"/>
    <w:multiLevelType w:val="hybridMultilevel"/>
    <w:tmpl w:val="F83003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0B45"/>
    <w:multiLevelType w:val="hybridMultilevel"/>
    <w:tmpl w:val="F83003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E"/>
    <w:rsid w:val="000761EE"/>
    <w:rsid w:val="00116495"/>
    <w:rsid w:val="002E575F"/>
    <w:rsid w:val="003F3DA1"/>
    <w:rsid w:val="0073656E"/>
    <w:rsid w:val="00861F92"/>
    <w:rsid w:val="00AE7264"/>
    <w:rsid w:val="00B20058"/>
    <w:rsid w:val="00B60A2F"/>
    <w:rsid w:val="00C34877"/>
    <w:rsid w:val="00C55FC8"/>
    <w:rsid w:val="00D31B32"/>
    <w:rsid w:val="00F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994E-7412-47F6-B329-3DF5ECD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Citation List,References,ReferencesCxSpLast,lp1,Normal 2,Colorful List - Accent 12,Main numbered paragraph,List_Paragraph,Multilevel para_II,Resume Title,Paragraph,ICR Paragraph,Bullets,Puce,ANNEX,본문(내용)"/>
    <w:basedOn w:val="Normal"/>
    <w:link w:val="ListParagraphChar"/>
    <w:uiPriority w:val="34"/>
    <w:qFormat/>
    <w:rsid w:val="000761EE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0761EE"/>
    <w:pPr>
      <w:tabs>
        <w:tab w:val="center" w:pos="4320"/>
        <w:tab w:val="right" w:pos="8640"/>
      </w:tabs>
    </w:pPr>
    <w:rPr>
      <w:rFonts w:ascii="Courier" w:hAnsi="Courier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761EE"/>
    <w:rPr>
      <w:rFonts w:ascii="Courier" w:eastAsia="Times New Roman" w:hAnsi="Courier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0761EE"/>
  </w:style>
  <w:style w:type="table" w:styleId="TableGrid">
    <w:name w:val="Table Grid"/>
    <w:basedOn w:val="TableNormal"/>
    <w:uiPriority w:val="39"/>
    <w:rsid w:val="0007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761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E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 (numbered (a)) Char,Citation List Char,References Char,ReferencesCxSpLast Char,lp1 Char,Normal 2 Char,Colorful List - Accent 12 Char,Main numbered paragraph Char,List_Paragraph Char,Multilevel para_II Char,Bullets Char"/>
    <w:basedOn w:val="DefaultParagraphFont"/>
    <w:link w:val="ListParagraph"/>
    <w:uiPriority w:val="34"/>
    <w:qFormat/>
    <w:locked/>
    <w:rsid w:val="003F3DA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connectpakistan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wahmad244@gmail.com</dc:creator>
  <cp:keywords/>
  <dc:description/>
  <cp:lastModifiedBy>Naeem Khan</cp:lastModifiedBy>
  <cp:revision>2</cp:revision>
  <cp:lastPrinted>2019-12-05T04:41:00Z</cp:lastPrinted>
  <dcterms:created xsi:type="dcterms:W3CDTF">2019-12-17T06:21:00Z</dcterms:created>
  <dcterms:modified xsi:type="dcterms:W3CDTF">2019-12-17T06:21:00Z</dcterms:modified>
</cp:coreProperties>
</file>